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72CD" w14:textId="4AA2BA77" w:rsidR="00D21E6C" w:rsidRPr="00D21E6C" w:rsidRDefault="00D21E6C" w:rsidP="00F56AD3">
      <w:pPr>
        <w:pStyle w:val="Title"/>
        <w:jc w:val="both"/>
        <w:rPr>
          <w:rFonts w:eastAsia="Times New Roman"/>
        </w:rPr>
      </w:pPr>
      <w:r w:rsidRPr="00D21E6C">
        <w:rPr>
          <w:rFonts w:eastAsia="Times New Roman"/>
        </w:rPr>
        <w:t>Content Map</w:t>
      </w:r>
      <w:r w:rsidR="00040C23" w:rsidRPr="00F56AD3">
        <w:rPr>
          <w:rFonts w:eastAsia="Times New Roman"/>
        </w:rPr>
        <w:t>:</w:t>
      </w:r>
      <w:r w:rsidRPr="00D21E6C">
        <w:rPr>
          <w:rFonts w:eastAsia="Times New Roman"/>
        </w:rPr>
        <w:t xml:space="preserve"> Nature of Science &amp; Scientific Practices</w:t>
      </w:r>
    </w:p>
    <w:p w14:paraId="711F1ADE" w14:textId="77777777" w:rsidR="005976A0" w:rsidRPr="00F56AD3" w:rsidRDefault="005976A0" w:rsidP="005976A0">
      <w:pPr>
        <w:pStyle w:val="Heading1"/>
        <w:rPr>
          <w:rFonts w:eastAsia="Times New Roman"/>
          <w:b/>
          <w:bCs/>
        </w:rPr>
      </w:pPr>
      <w:r w:rsidRPr="00F56AD3">
        <w:rPr>
          <w:rFonts w:eastAsia="Times New Roman"/>
          <w:b/>
          <w:bCs/>
        </w:rPr>
        <w:t>Instructions</w:t>
      </w:r>
    </w:p>
    <w:p w14:paraId="5156BAD2" w14:textId="77777777" w:rsidR="005976A0" w:rsidRPr="00D21E6C" w:rsidRDefault="005976A0" w:rsidP="005976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21E6C">
        <w:rPr>
          <w:rFonts w:eastAsia="Times New Roman" w:cs="Times New Roman"/>
          <w:kern w:val="0"/>
          <w14:ligatures w14:val="none"/>
        </w:rPr>
        <w:t>Place all the required concepts on your map.</w:t>
      </w:r>
    </w:p>
    <w:p w14:paraId="0749F404" w14:textId="77777777" w:rsidR="005976A0" w:rsidRPr="00F56AD3" w:rsidRDefault="005976A0" w:rsidP="005976A0">
      <w:pPr>
        <w:pStyle w:val="NormalWeb"/>
        <w:numPr>
          <w:ilvl w:val="0"/>
          <w:numId w:val="11"/>
        </w:numPr>
        <w:rPr>
          <w:rFonts w:asciiTheme="minorHAnsi" w:hAnsiTheme="minorHAnsi"/>
        </w:rPr>
      </w:pPr>
      <w:r w:rsidRPr="00F56AD3">
        <w:rPr>
          <w:rFonts w:asciiTheme="minorHAnsi" w:hAnsiTheme="minorHAnsi"/>
        </w:rPr>
        <w:t xml:space="preserve">Show relationships between concepts using </w:t>
      </w:r>
      <w:r w:rsidRPr="00F56AD3">
        <w:rPr>
          <w:rStyle w:val="Strong"/>
          <w:rFonts w:asciiTheme="minorHAnsi" w:eastAsiaTheme="majorEastAsia" w:hAnsiTheme="minorHAnsi"/>
        </w:rPr>
        <w:t>arrows, symbols, or other clear visual markers.</w:t>
      </w:r>
    </w:p>
    <w:p w14:paraId="3B22FC3E" w14:textId="77777777" w:rsidR="005976A0" w:rsidRPr="00F56AD3" w:rsidRDefault="005976A0" w:rsidP="005976A0">
      <w:pPr>
        <w:pStyle w:val="NormalWeb"/>
        <w:numPr>
          <w:ilvl w:val="0"/>
          <w:numId w:val="11"/>
        </w:numPr>
        <w:rPr>
          <w:rFonts w:asciiTheme="minorHAnsi" w:hAnsiTheme="minorHAnsi"/>
        </w:rPr>
      </w:pPr>
      <w:r w:rsidRPr="00F56AD3">
        <w:rPr>
          <w:rFonts w:asciiTheme="minorHAnsi" w:hAnsiTheme="minorHAnsi"/>
        </w:rPr>
        <w:t xml:space="preserve">Label each connection with a word or phrase explaining the relationship (e.g., </w:t>
      </w:r>
      <w:r w:rsidRPr="00F56AD3">
        <w:rPr>
          <w:rStyle w:val="Emphasis"/>
          <w:rFonts w:asciiTheme="minorHAnsi" w:eastAsiaTheme="majorEastAsia" w:hAnsiTheme="minorHAnsi"/>
        </w:rPr>
        <w:t>“leads to,” “informs,” “requires”</w:t>
      </w:r>
      <w:r w:rsidRPr="00F56AD3">
        <w:rPr>
          <w:rFonts w:asciiTheme="minorHAnsi" w:hAnsiTheme="minorHAnsi"/>
        </w:rPr>
        <w:t>).</w:t>
      </w:r>
    </w:p>
    <w:p w14:paraId="4833B89B" w14:textId="77777777" w:rsidR="005976A0" w:rsidRPr="00F56AD3" w:rsidRDefault="005976A0" w:rsidP="005976A0">
      <w:pPr>
        <w:pStyle w:val="NormalWeb"/>
        <w:numPr>
          <w:ilvl w:val="0"/>
          <w:numId w:val="11"/>
        </w:numPr>
        <w:rPr>
          <w:rFonts w:asciiTheme="minorHAnsi" w:hAnsiTheme="minorHAnsi"/>
        </w:rPr>
      </w:pPr>
      <w:r w:rsidRPr="00F56AD3">
        <w:rPr>
          <w:rFonts w:asciiTheme="minorHAnsi" w:hAnsiTheme="minorHAnsi"/>
        </w:rPr>
        <w:t xml:space="preserve">For ideas that </w:t>
      </w:r>
      <w:r w:rsidRPr="00F56AD3">
        <w:rPr>
          <w:rStyle w:val="Strong"/>
          <w:rFonts w:asciiTheme="minorHAnsi" w:eastAsiaTheme="majorEastAsia" w:hAnsiTheme="minorHAnsi"/>
        </w:rPr>
        <w:t>contradict</w:t>
      </w:r>
      <w:r w:rsidRPr="00F56AD3">
        <w:rPr>
          <w:rFonts w:asciiTheme="minorHAnsi" w:hAnsiTheme="minorHAnsi"/>
        </w:rPr>
        <w:t xml:space="preserve"> or </w:t>
      </w:r>
      <w:r w:rsidRPr="00F56AD3">
        <w:rPr>
          <w:rStyle w:val="Strong"/>
          <w:rFonts w:asciiTheme="minorHAnsi" w:eastAsiaTheme="majorEastAsia" w:hAnsiTheme="minorHAnsi"/>
        </w:rPr>
        <w:t>do not connect</w:t>
      </w:r>
      <w:r w:rsidRPr="00F56AD3">
        <w:rPr>
          <w:rFonts w:asciiTheme="minorHAnsi" w:hAnsiTheme="minorHAnsi"/>
        </w:rPr>
        <w:t xml:space="preserve">, you may use symbols (e.g., </w:t>
      </w:r>
      <w:r w:rsidRPr="00F56AD3">
        <w:rPr>
          <w:rFonts w:ascii="Apple Color Emoji" w:hAnsi="Apple Color Emoji" w:cs="Apple Color Emoji"/>
        </w:rPr>
        <w:t>✖</w:t>
      </w:r>
      <w:r w:rsidRPr="00F56AD3">
        <w:rPr>
          <w:rFonts w:asciiTheme="minorHAnsi" w:hAnsiTheme="minorHAnsi"/>
        </w:rPr>
        <w:t>, ≠, dashed lines) or other visual cues instead of arrows. Just make sure to explain what your symbols mean.</w:t>
      </w:r>
    </w:p>
    <w:p w14:paraId="033DE33C" w14:textId="77777777" w:rsidR="005976A0" w:rsidRPr="00D21E6C" w:rsidRDefault="005976A0" w:rsidP="005976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21E6C">
        <w:rPr>
          <w:rFonts w:eastAsia="Times New Roman" w:cs="Times New Roman"/>
          <w:kern w:val="0"/>
          <w14:ligatures w14:val="none"/>
        </w:rPr>
        <w:t xml:space="preserve">Some concepts may </w:t>
      </w:r>
      <w:r w:rsidRPr="00D21E6C">
        <w:rPr>
          <w:rFonts w:eastAsia="Times New Roman" w:cs="Times New Roman"/>
          <w:b/>
          <w:bCs/>
          <w:kern w:val="0"/>
          <w14:ligatures w14:val="none"/>
        </w:rPr>
        <w:t>not connect directly</w:t>
      </w:r>
      <w:r w:rsidRPr="00F56AD3">
        <w:rPr>
          <w:rFonts w:eastAsia="Times New Roman" w:cs="Times New Roman"/>
          <w:b/>
          <w:bCs/>
          <w:kern w:val="0"/>
          <w14:ligatures w14:val="none"/>
        </w:rPr>
        <w:t>.</w:t>
      </w:r>
      <w:r w:rsidRPr="00D21E6C">
        <w:rPr>
          <w:rFonts w:eastAsia="Times New Roman" w:cs="Times New Roman"/>
          <w:kern w:val="0"/>
          <w14:ligatures w14:val="none"/>
        </w:rPr>
        <w:t xml:space="preserve"> That’s okay</w:t>
      </w:r>
      <w:r w:rsidRPr="00F56AD3">
        <w:rPr>
          <w:rFonts w:eastAsia="Times New Roman" w:cs="Times New Roman"/>
          <w:kern w:val="0"/>
          <w14:ligatures w14:val="none"/>
        </w:rPr>
        <w:t xml:space="preserve"> –</w:t>
      </w:r>
      <w:r w:rsidRPr="00D21E6C">
        <w:rPr>
          <w:rFonts w:eastAsia="Times New Roman" w:cs="Times New Roman"/>
          <w:kern w:val="0"/>
          <w14:ligatures w14:val="none"/>
        </w:rPr>
        <w:t xml:space="preserve"> label it explicitly.</w:t>
      </w:r>
    </w:p>
    <w:p w14:paraId="78432EDD" w14:textId="77777777" w:rsidR="005976A0" w:rsidRPr="00D21E6C" w:rsidRDefault="005976A0" w:rsidP="005976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21E6C">
        <w:rPr>
          <w:rFonts w:eastAsia="Times New Roman" w:cs="Times New Roman"/>
          <w:kern w:val="0"/>
          <w14:ligatures w14:val="none"/>
        </w:rPr>
        <w:t>Show how different types of literature (</w:t>
      </w:r>
      <w:r w:rsidRPr="00D21E6C">
        <w:rPr>
          <w:rFonts w:eastAsia="Times New Roman" w:cs="Times New Roman"/>
          <w:b/>
          <w:bCs/>
          <w:kern w:val="0"/>
          <w14:ligatures w14:val="none"/>
        </w:rPr>
        <w:t>primary → secondary → tertiary</w:t>
      </w:r>
      <w:r w:rsidRPr="00D21E6C">
        <w:rPr>
          <w:rFonts w:eastAsia="Times New Roman" w:cs="Times New Roman"/>
          <w:kern w:val="0"/>
          <w14:ligatures w14:val="none"/>
        </w:rPr>
        <w:t>) flow into the scientific process and public understanding.</w:t>
      </w:r>
    </w:p>
    <w:p w14:paraId="222E9BE3" w14:textId="16E4A205" w:rsidR="005976A0" w:rsidRPr="005976A0" w:rsidRDefault="005976A0" w:rsidP="00F56A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21E6C">
        <w:rPr>
          <w:rFonts w:eastAsia="Times New Roman" w:cs="Times New Roman"/>
          <w:kern w:val="0"/>
          <w14:ligatures w14:val="none"/>
        </w:rPr>
        <w:t xml:space="preserve">Highlight how </w:t>
      </w:r>
      <w:r w:rsidRPr="00D21E6C">
        <w:rPr>
          <w:rFonts w:eastAsia="Times New Roman" w:cs="Times New Roman"/>
          <w:b/>
          <w:bCs/>
          <w:kern w:val="0"/>
          <w14:ligatures w14:val="none"/>
        </w:rPr>
        <w:t>positive claims</w:t>
      </w:r>
      <w:r w:rsidRPr="00D21E6C">
        <w:rPr>
          <w:rFonts w:eastAsia="Times New Roman" w:cs="Times New Roman"/>
          <w:kern w:val="0"/>
          <w14:ligatures w14:val="none"/>
        </w:rPr>
        <w:t xml:space="preserve"> differ from </w:t>
      </w:r>
      <w:r w:rsidRPr="00D21E6C">
        <w:rPr>
          <w:rFonts w:eastAsia="Times New Roman" w:cs="Times New Roman"/>
          <w:b/>
          <w:bCs/>
          <w:kern w:val="0"/>
          <w14:ligatures w14:val="none"/>
        </w:rPr>
        <w:t>normative claims</w:t>
      </w:r>
      <w:r w:rsidRPr="00D21E6C">
        <w:rPr>
          <w:rFonts w:eastAsia="Times New Roman" w:cs="Times New Roman"/>
          <w:kern w:val="0"/>
          <w14:ligatures w14:val="none"/>
        </w:rPr>
        <w:t xml:space="preserve"> in their relationship to evidence and communication.</w:t>
      </w:r>
    </w:p>
    <w:p w14:paraId="2B34D658" w14:textId="6BFF4A57" w:rsidR="00D21E6C" w:rsidRPr="00F56AD3" w:rsidRDefault="00D21E6C" w:rsidP="00F56AD3">
      <w:pPr>
        <w:pStyle w:val="Heading1"/>
        <w:rPr>
          <w:rFonts w:eastAsia="Times New Roman"/>
          <w:b/>
          <w:bCs/>
        </w:rPr>
      </w:pPr>
      <w:r w:rsidRPr="00F56AD3">
        <w:rPr>
          <w:rFonts w:eastAsia="Times New Roman"/>
          <w:b/>
          <w:bCs/>
        </w:rPr>
        <w:t xml:space="preserve">Concepts to Include </w:t>
      </w:r>
      <w:r w:rsidRPr="00F56AD3">
        <w:rPr>
          <w:rFonts w:eastAsia="Times New Roman"/>
          <w:i/>
          <w:iCs/>
        </w:rPr>
        <w:t>(you may add others as needed)</w:t>
      </w:r>
    </w:p>
    <w:p w14:paraId="250FC111" w14:textId="21C46C3A" w:rsidR="00D21E6C" w:rsidRPr="00D21E6C" w:rsidRDefault="00D21E6C" w:rsidP="00F56AD3">
      <w:pPr>
        <w:pStyle w:val="Heading2"/>
        <w:rPr>
          <w:rFonts w:eastAsia="Times New Roman"/>
        </w:rPr>
      </w:pPr>
      <w:r w:rsidRPr="00D21E6C">
        <w:rPr>
          <w:rFonts w:eastAsia="Times New Roman"/>
        </w:rPr>
        <w:t>Core Practices vs. Evidence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860"/>
      </w:tblGrid>
      <w:tr w:rsidR="00D21E6C" w:rsidRPr="00D21E6C" w14:paraId="1E5EA866" w14:textId="77777777" w:rsidTr="00D21E6C">
        <w:trPr>
          <w:tblHeader/>
          <w:tblCellSpacing w:w="15" w:type="dxa"/>
        </w:trPr>
        <w:tc>
          <w:tcPr>
            <w:tcW w:w="4455" w:type="dxa"/>
            <w:vAlign w:val="center"/>
            <w:hideMark/>
          </w:tcPr>
          <w:p w14:paraId="686E6D82" w14:textId="77777777" w:rsidR="00D21E6C" w:rsidRPr="00D21E6C" w:rsidRDefault="00D21E6C" w:rsidP="00D21E6C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D21E6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Core Practice (Action scientists take)</w:t>
            </w:r>
          </w:p>
        </w:tc>
        <w:tc>
          <w:tcPr>
            <w:tcW w:w="4815" w:type="dxa"/>
            <w:vAlign w:val="center"/>
            <w:hideMark/>
          </w:tcPr>
          <w:p w14:paraId="6F6C073D" w14:textId="77777777" w:rsidR="00D21E6C" w:rsidRPr="00D21E6C" w:rsidRDefault="00D21E6C" w:rsidP="00D21E6C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D21E6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Evidence Produced (Output of that practice)</w:t>
            </w:r>
          </w:p>
        </w:tc>
      </w:tr>
      <w:tr w:rsidR="00D21E6C" w:rsidRPr="00D21E6C" w14:paraId="19F52D90" w14:textId="77777777" w:rsidTr="00D21E6C">
        <w:trPr>
          <w:tblCellSpacing w:w="15" w:type="dxa"/>
        </w:trPr>
        <w:tc>
          <w:tcPr>
            <w:tcW w:w="4455" w:type="dxa"/>
            <w:vAlign w:val="center"/>
            <w:hideMark/>
          </w:tcPr>
          <w:p w14:paraId="306F007C" w14:textId="77777777" w:rsidR="00D21E6C" w:rsidRPr="00D21E6C" w:rsidRDefault="00D21E6C" w:rsidP="00D21E6C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21E6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Observation</w:t>
            </w:r>
          </w:p>
        </w:tc>
        <w:tc>
          <w:tcPr>
            <w:tcW w:w="4815" w:type="dxa"/>
            <w:vAlign w:val="center"/>
            <w:hideMark/>
          </w:tcPr>
          <w:p w14:paraId="2D726E10" w14:textId="77777777" w:rsidR="00D21E6C" w:rsidRPr="00D21E6C" w:rsidRDefault="00D21E6C" w:rsidP="00D21E6C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21E6C">
              <w:rPr>
                <w:rFonts w:eastAsia="Times New Roman" w:cs="Times New Roman"/>
                <w:kern w:val="0"/>
                <w14:ligatures w14:val="none"/>
              </w:rPr>
              <w:t>Observational data (notes, images, recordings)</w:t>
            </w:r>
          </w:p>
        </w:tc>
      </w:tr>
      <w:tr w:rsidR="00D21E6C" w:rsidRPr="00D21E6C" w14:paraId="1254EA0B" w14:textId="77777777" w:rsidTr="00D21E6C">
        <w:trPr>
          <w:tblCellSpacing w:w="15" w:type="dxa"/>
        </w:trPr>
        <w:tc>
          <w:tcPr>
            <w:tcW w:w="4455" w:type="dxa"/>
            <w:vAlign w:val="center"/>
            <w:hideMark/>
          </w:tcPr>
          <w:p w14:paraId="6DE1A74E" w14:textId="77777777" w:rsidR="00D21E6C" w:rsidRPr="00D21E6C" w:rsidRDefault="00D21E6C" w:rsidP="00D21E6C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21E6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Questioning / Hypothesis formation</w:t>
            </w:r>
          </w:p>
        </w:tc>
        <w:tc>
          <w:tcPr>
            <w:tcW w:w="4815" w:type="dxa"/>
            <w:vAlign w:val="center"/>
            <w:hideMark/>
          </w:tcPr>
          <w:p w14:paraId="04DC4BCF" w14:textId="77777777" w:rsidR="00D21E6C" w:rsidRPr="00D21E6C" w:rsidRDefault="00D21E6C" w:rsidP="00D21E6C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21E6C">
              <w:rPr>
                <w:rFonts w:eastAsia="Times New Roman" w:cs="Times New Roman"/>
                <w:kern w:val="0"/>
                <w14:ligatures w14:val="none"/>
              </w:rPr>
              <w:t>Testable predictions, research questions</w:t>
            </w:r>
          </w:p>
        </w:tc>
      </w:tr>
      <w:tr w:rsidR="00D21E6C" w:rsidRPr="00D21E6C" w14:paraId="7AAB3513" w14:textId="77777777" w:rsidTr="00D21E6C">
        <w:trPr>
          <w:tblCellSpacing w:w="15" w:type="dxa"/>
        </w:trPr>
        <w:tc>
          <w:tcPr>
            <w:tcW w:w="4455" w:type="dxa"/>
            <w:vAlign w:val="center"/>
            <w:hideMark/>
          </w:tcPr>
          <w:p w14:paraId="5EA3510E" w14:textId="77777777" w:rsidR="00D21E6C" w:rsidRPr="00D21E6C" w:rsidRDefault="00D21E6C" w:rsidP="00D21E6C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21E6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Data collection</w:t>
            </w:r>
          </w:p>
        </w:tc>
        <w:tc>
          <w:tcPr>
            <w:tcW w:w="4815" w:type="dxa"/>
            <w:vAlign w:val="center"/>
            <w:hideMark/>
          </w:tcPr>
          <w:p w14:paraId="3A69749B" w14:textId="77777777" w:rsidR="00D21E6C" w:rsidRPr="00D21E6C" w:rsidRDefault="00D21E6C" w:rsidP="00D21E6C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21E6C">
              <w:rPr>
                <w:rFonts w:eastAsia="Times New Roman" w:cs="Times New Roman"/>
                <w:kern w:val="0"/>
                <w14:ligatures w14:val="none"/>
              </w:rPr>
              <w:t>Measurements, datasets, statistics</w:t>
            </w:r>
          </w:p>
        </w:tc>
      </w:tr>
      <w:tr w:rsidR="00D21E6C" w:rsidRPr="00D21E6C" w14:paraId="077F0BE7" w14:textId="77777777" w:rsidTr="00D21E6C">
        <w:trPr>
          <w:tblCellSpacing w:w="15" w:type="dxa"/>
        </w:trPr>
        <w:tc>
          <w:tcPr>
            <w:tcW w:w="4455" w:type="dxa"/>
            <w:vAlign w:val="center"/>
            <w:hideMark/>
          </w:tcPr>
          <w:p w14:paraId="152000C8" w14:textId="77777777" w:rsidR="00D21E6C" w:rsidRPr="00D21E6C" w:rsidRDefault="00D21E6C" w:rsidP="00D21E6C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21E6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Experimentation</w:t>
            </w:r>
          </w:p>
        </w:tc>
        <w:tc>
          <w:tcPr>
            <w:tcW w:w="4815" w:type="dxa"/>
            <w:vAlign w:val="center"/>
            <w:hideMark/>
          </w:tcPr>
          <w:p w14:paraId="07CABB45" w14:textId="77777777" w:rsidR="00D21E6C" w:rsidRPr="00D21E6C" w:rsidRDefault="00D21E6C" w:rsidP="00D21E6C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21E6C">
              <w:rPr>
                <w:rFonts w:eastAsia="Times New Roman" w:cs="Times New Roman"/>
                <w:kern w:val="0"/>
                <w14:ligatures w14:val="none"/>
              </w:rPr>
              <w:t>Experimental results (outcomes under controlled conditions)</w:t>
            </w:r>
          </w:p>
        </w:tc>
      </w:tr>
      <w:tr w:rsidR="00D21E6C" w:rsidRPr="00D21E6C" w14:paraId="083674FF" w14:textId="77777777" w:rsidTr="00D21E6C">
        <w:trPr>
          <w:tblCellSpacing w:w="15" w:type="dxa"/>
        </w:trPr>
        <w:tc>
          <w:tcPr>
            <w:tcW w:w="4455" w:type="dxa"/>
            <w:vAlign w:val="center"/>
            <w:hideMark/>
          </w:tcPr>
          <w:p w14:paraId="2FF85B7C" w14:textId="77777777" w:rsidR="00D21E6C" w:rsidRPr="00D21E6C" w:rsidRDefault="00D21E6C" w:rsidP="00D21E6C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21E6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Replication</w:t>
            </w:r>
          </w:p>
        </w:tc>
        <w:tc>
          <w:tcPr>
            <w:tcW w:w="4815" w:type="dxa"/>
            <w:vAlign w:val="center"/>
            <w:hideMark/>
          </w:tcPr>
          <w:p w14:paraId="65DA7139" w14:textId="77777777" w:rsidR="00D21E6C" w:rsidRPr="00D21E6C" w:rsidRDefault="00D21E6C" w:rsidP="00D21E6C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21E6C">
              <w:rPr>
                <w:rFonts w:eastAsia="Times New Roman" w:cs="Times New Roman"/>
                <w:kern w:val="0"/>
                <w14:ligatures w14:val="none"/>
              </w:rPr>
              <w:t>Confirmatory results, reproducibility data</w:t>
            </w:r>
          </w:p>
        </w:tc>
      </w:tr>
      <w:tr w:rsidR="00D21E6C" w:rsidRPr="00D21E6C" w14:paraId="460D3CA9" w14:textId="77777777" w:rsidTr="00D21E6C">
        <w:trPr>
          <w:tblCellSpacing w:w="15" w:type="dxa"/>
        </w:trPr>
        <w:tc>
          <w:tcPr>
            <w:tcW w:w="4455" w:type="dxa"/>
            <w:vAlign w:val="center"/>
            <w:hideMark/>
          </w:tcPr>
          <w:p w14:paraId="2C331395" w14:textId="77777777" w:rsidR="00D21E6C" w:rsidRPr="00D21E6C" w:rsidRDefault="00D21E6C" w:rsidP="00D21E6C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21E6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Revision</w:t>
            </w:r>
          </w:p>
        </w:tc>
        <w:tc>
          <w:tcPr>
            <w:tcW w:w="4815" w:type="dxa"/>
            <w:vAlign w:val="center"/>
            <w:hideMark/>
          </w:tcPr>
          <w:p w14:paraId="3E8316C4" w14:textId="77777777" w:rsidR="00D21E6C" w:rsidRPr="00D21E6C" w:rsidRDefault="00D21E6C" w:rsidP="00D21E6C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21E6C">
              <w:rPr>
                <w:rFonts w:eastAsia="Times New Roman" w:cs="Times New Roman"/>
                <w:kern w:val="0"/>
                <w14:ligatures w14:val="none"/>
              </w:rPr>
              <w:t>Revised models, corrected datasets</w:t>
            </w:r>
          </w:p>
        </w:tc>
      </w:tr>
      <w:tr w:rsidR="00D21E6C" w:rsidRPr="00D21E6C" w14:paraId="60DC6605" w14:textId="77777777" w:rsidTr="00D21E6C">
        <w:trPr>
          <w:tblCellSpacing w:w="15" w:type="dxa"/>
        </w:trPr>
        <w:tc>
          <w:tcPr>
            <w:tcW w:w="4455" w:type="dxa"/>
            <w:vAlign w:val="center"/>
            <w:hideMark/>
          </w:tcPr>
          <w:p w14:paraId="04DD08F9" w14:textId="77777777" w:rsidR="00D21E6C" w:rsidRPr="00D21E6C" w:rsidRDefault="00D21E6C" w:rsidP="00D21E6C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21E6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Theory development</w:t>
            </w:r>
          </w:p>
        </w:tc>
        <w:tc>
          <w:tcPr>
            <w:tcW w:w="4815" w:type="dxa"/>
            <w:vAlign w:val="center"/>
            <w:hideMark/>
          </w:tcPr>
          <w:p w14:paraId="2EADE950" w14:textId="77777777" w:rsidR="00D21E6C" w:rsidRPr="00D21E6C" w:rsidRDefault="00D21E6C" w:rsidP="00D21E6C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21E6C">
              <w:rPr>
                <w:rFonts w:eastAsia="Times New Roman" w:cs="Times New Roman"/>
                <w:kern w:val="0"/>
                <w14:ligatures w14:val="none"/>
              </w:rPr>
              <w:t>Explanatory frameworks supported by accumulated evidence</w:t>
            </w:r>
          </w:p>
        </w:tc>
      </w:tr>
      <w:tr w:rsidR="00D21E6C" w:rsidRPr="00D21E6C" w14:paraId="2BA1A3E8" w14:textId="77777777" w:rsidTr="00D21E6C">
        <w:trPr>
          <w:tblCellSpacing w:w="15" w:type="dxa"/>
        </w:trPr>
        <w:tc>
          <w:tcPr>
            <w:tcW w:w="4455" w:type="dxa"/>
            <w:vAlign w:val="center"/>
            <w:hideMark/>
          </w:tcPr>
          <w:p w14:paraId="0242C45B" w14:textId="77777777" w:rsidR="00D21E6C" w:rsidRPr="00D21E6C" w:rsidRDefault="00D21E6C" w:rsidP="00D21E6C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21E6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Modeling</w:t>
            </w:r>
          </w:p>
        </w:tc>
        <w:tc>
          <w:tcPr>
            <w:tcW w:w="4815" w:type="dxa"/>
            <w:vAlign w:val="center"/>
            <w:hideMark/>
          </w:tcPr>
          <w:p w14:paraId="5673982C" w14:textId="77777777" w:rsidR="00D21E6C" w:rsidRPr="00D21E6C" w:rsidRDefault="00D21E6C" w:rsidP="00D21E6C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21E6C">
              <w:rPr>
                <w:rFonts w:eastAsia="Times New Roman" w:cs="Times New Roman"/>
                <w:kern w:val="0"/>
                <w14:ligatures w14:val="none"/>
              </w:rPr>
              <w:t>Models, simulations (tested against observations)</w:t>
            </w:r>
          </w:p>
        </w:tc>
      </w:tr>
      <w:tr w:rsidR="00D21E6C" w:rsidRPr="00D21E6C" w14:paraId="13CFA137" w14:textId="77777777" w:rsidTr="00D21E6C">
        <w:trPr>
          <w:tblCellSpacing w:w="15" w:type="dxa"/>
        </w:trPr>
        <w:tc>
          <w:tcPr>
            <w:tcW w:w="4455" w:type="dxa"/>
            <w:vAlign w:val="center"/>
            <w:hideMark/>
          </w:tcPr>
          <w:p w14:paraId="7319D68B" w14:textId="77777777" w:rsidR="00D21E6C" w:rsidRPr="00D21E6C" w:rsidRDefault="00D21E6C" w:rsidP="00D21E6C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21E6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Study design</w:t>
            </w:r>
          </w:p>
        </w:tc>
        <w:tc>
          <w:tcPr>
            <w:tcW w:w="4815" w:type="dxa"/>
            <w:vAlign w:val="center"/>
            <w:hideMark/>
          </w:tcPr>
          <w:p w14:paraId="4148757A" w14:textId="77777777" w:rsidR="00D21E6C" w:rsidRPr="00D21E6C" w:rsidRDefault="00D21E6C" w:rsidP="00D21E6C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21E6C">
              <w:rPr>
                <w:rFonts w:eastAsia="Times New Roman" w:cs="Times New Roman"/>
                <w:kern w:val="0"/>
                <w14:ligatures w14:val="none"/>
              </w:rPr>
              <w:t>Double-blind study results</w:t>
            </w:r>
          </w:p>
        </w:tc>
      </w:tr>
    </w:tbl>
    <w:p w14:paraId="1F6870EE" w14:textId="7AD049A1" w:rsidR="00D21E6C" w:rsidRPr="00D21E6C" w:rsidRDefault="00D21E6C" w:rsidP="00D21E6C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04C12BE9" w14:textId="79A90BE3" w:rsidR="00D21E6C" w:rsidRPr="00D21E6C" w:rsidRDefault="00D21E6C" w:rsidP="00D21E6C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D21E6C">
        <w:rPr>
          <w:rStyle w:val="Heading2Char"/>
        </w:rPr>
        <w:t>Communication &amp; Community</w:t>
      </w:r>
    </w:p>
    <w:p w14:paraId="01BE4E22" w14:textId="77777777" w:rsidR="00D21E6C" w:rsidRPr="00D21E6C" w:rsidRDefault="00D21E6C" w:rsidP="00D21E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21E6C">
        <w:rPr>
          <w:rFonts w:eastAsia="Times New Roman" w:cs="Times New Roman"/>
          <w:kern w:val="0"/>
          <w14:ligatures w14:val="none"/>
        </w:rPr>
        <w:t>Peer review</w:t>
      </w:r>
    </w:p>
    <w:p w14:paraId="7CC82293" w14:textId="77777777" w:rsidR="00D21E6C" w:rsidRPr="00D21E6C" w:rsidRDefault="00D21E6C" w:rsidP="00D21E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21E6C">
        <w:rPr>
          <w:rFonts w:eastAsia="Times New Roman" w:cs="Times New Roman"/>
          <w:kern w:val="0"/>
          <w14:ligatures w14:val="none"/>
        </w:rPr>
        <w:t>Public communication</w:t>
      </w:r>
    </w:p>
    <w:p w14:paraId="24E35266" w14:textId="77777777" w:rsidR="00D21E6C" w:rsidRPr="00D21E6C" w:rsidRDefault="00D21E6C" w:rsidP="00D21E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21E6C">
        <w:rPr>
          <w:rFonts w:eastAsia="Times New Roman" w:cs="Times New Roman"/>
          <w:kern w:val="0"/>
          <w14:ligatures w14:val="none"/>
        </w:rPr>
        <w:t>Invisible college (meetings, emails, conferences, informal exchanges)</w:t>
      </w:r>
    </w:p>
    <w:p w14:paraId="3FDCDA29" w14:textId="7A950C5B" w:rsidR="00D21E6C" w:rsidRPr="00D21E6C" w:rsidRDefault="00D21E6C" w:rsidP="00F56AD3">
      <w:pPr>
        <w:pStyle w:val="Heading2"/>
        <w:rPr>
          <w:rFonts w:eastAsia="Times New Roman"/>
        </w:rPr>
      </w:pPr>
      <w:r w:rsidRPr="00D21E6C">
        <w:rPr>
          <w:rFonts w:eastAsia="Times New Roman"/>
        </w:rPr>
        <w:t>Knowledge Sources</w:t>
      </w:r>
    </w:p>
    <w:p w14:paraId="16AA3F33" w14:textId="77777777" w:rsidR="00D21E6C" w:rsidRPr="00D21E6C" w:rsidRDefault="00D21E6C" w:rsidP="00D21E6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21E6C">
        <w:rPr>
          <w:rFonts w:eastAsia="Times New Roman" w:cs="Times New Roman"/>
          <w:kern w:val="0"/>
          <w14:ligatures w14:val="none"/>
        </w:rPr>
        <w:t>Primary literature (research articles, preprints, datasets)</w:t>
      </w:r>
    </w:p>
    <w:p w14:paraId="1C473503" w14:textId="77777777" w:rsidR="00D21E6C" w:rsidRPr="00D21E6C" w:rsidRDefault="00D21E6C" w:rsidP="00D21E6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21E6C">
        <w:rPr>
          <w:rFonts w:eastAsia="Times New Roman" w:cs="Times New Roman"/>
          <w:kern w:val="0"/>
          <w14:ligatures w14:val="none"/>
        </w:rPr>
        <w:t>Secondary literature (review articles, books, indexes)</w:t>
      </w:r>
    </w:p>
    <w:p w14:paraId="72C97161" w14:textId="77777777" w:rsidR="00D21E6C" w:rsidRPr="00D21E6C" w:rsidRDefault="00D21E6C" w:rsidP="00D21E6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21E6C">
        <w:rPr>
          <w:rFonts w:eastAsia="Times New Roman" w:cs="Times New Roman"/>
          <w:kern w:val="0"/>
          <w14:ligatures w14:val="none"/>
        </w:rPr>
        <w:t>Tertiary literature (handouts, encyclopedias, textbooks)</w:t>
      </w:r>
    </w:p>
    <w:p w14:paraId="350F8668" w14:textId="35028F41" w:rsidR="00D21E6C" w:rsidRPr="00D21E6C" w:rsidRDefault="00D21E6C" w:rsidP="00F56AD3">
      <w:pPr>
        <w:pStyle w:val="Heading2"/>
        <w:rPr>
          <w:rFonts w:eastAsia="Times New Roman"/>
        </w:rPr>
      </w:pPr>
      <w:r w:rsidRPr="00D21E6C">
        <w:rPr>
          <w:rFonts w:eastAsia="Times New Roman"/>
        </w:rPr>
        <w:t>Boundaries of Science</w:t>
      </w:r>
    </w:p>
    <w:p w14:paraId="2FA41A79" w14:textId="77777777" w:rsidR="00D21E6C" w:rsidRPr="00D21E6C" w:rsidRDefault="00D21E6C" w:rsidP="00D21E6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21E6C">
        <w:rPr>
          <w:rFonts w:eastAsia="Times New Roman" w:cs="Times New Roman"/>
          <w:kern w:val="0"/>
          <w14:ligatures w14:val="none"/>
        </w:rPr>
        <w:t>Supernatural claims</w:t>
      </w:r>
    </w:p>
    <w:p w14:paraId="459873DD" w14:textId="77777777" w:rsidR="00D21E6C" w:rsidRPr="00D21E6C" w:rsidRDefault="00D21E6C" w:rsidP="00D21E6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21E6C">
        <w:rPr>
          <w:rFonts w:eastAsia="Times New Roman" w:cs="Times New Roman"/>
          <w:kern w:val="0"/>
          <w14:ligatures w14:val="none"/>
        </w:rPr>
        <w:t xml:space="preserve">Positive claims (descriptive/testable: what </w:t>
      </w:r>
      <w:r w:rsidRPr="00D21E6C">
        <w:rPr>
          <w:rFonts w:eastAsia="Times New Roman" w:cs="Times New Roman"/>
          <w:i/>
          <w:iCs/>
          <w:kern w:val="0"/>
          <w14:ligatures w14:val="none"/>
        </w:rPr>
        <w:t>is</w:t>
      </w:r>
      <w:r w:rsidRPr="00D21E6C">
        <w:rPr>
          <w:rFonts w:eastAsia="Times New Roman" w:cs="Times New Roman"/>
          <w:kern w:val="0"/>
          <w14:ligatures w14:val="none"/>
        </w:rPr>
        <w:t>)</w:t>
      </w:r>
    </w:p>
    <w:p w14:paraId="04A1D24F" w14:textId="77777777" w:rsidR="00D21E6C" w:rsidRPr="00D21E6C" w:rsidRDefault="00D21E6C" w:rsidP="00D21E6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21E6C">
        <w:rPr>
          <w:rFonts w:eastAsia="Times New Roman" w:cs="Times New Roman"/>
          <w:kern w:val="0"/>
          <w14:ligatures w14:val="none"/>
        </w:rPr>
        <w:t xml:space="preserve">Normative claims (value-based: what </w:t>
      </w:r>
      <w:r w:rsidRPr="00D21E6C">
        <w:rPr>
          <w:rFonts w:eastAsia="Times New Roman" w:cs="Times New Roman"/>
          <w:i/>
          <w:iCs/>
          <w:kern w:val="0"/>
          <w14:ligatures w14:val="none"/>
        </w:rPr>
        <w:t>should be</w:t>
      </w:r>
      <w:r w:rsidRPr="00D21E6C">
        <w:rPr>
          <w:rFonts w:eastAsia="Times New Roman" w:cs="Times New Roman"/>
          <w:kern w:val="0"/>
          <w14:ligatures w14:val="none"/>
        </w:rPr>
        <w:t>)</w:t>
      </w:r>
    </w:p>
    <w:p w14:paraId="4F0DDF30" w14:textId="185E4332" w:rsidR="00D21E6C" w:rsidRPr="00D21E6C" w:rsidRDefault="00D21E6C" w:rsidP="00D21E6C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1D260E3D" w14:textId="77777777" w:rsidR="00DE3689" w:rsidRPr="00F56AD3" w:rsidRDefault="00DE3689" w:rsidP="00D21E6C"/>
    <w:sectPr w:rsidR="00DE3689" w:rsidRPr="00F56A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0EE"/>
    <w:multiLevelType w:val="multilevel"/>
    <w:tmpl w:val="8DB28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B2BFB"/>
    <w:multiLevelType w:val="multilevel"/>
    <w:tmpl w:val="F020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628F7"/>
    <w:multiLevelType w:val="multilevel"/>
    <w:tmpl w:val="ADF4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D754F"/>
    <w:multiLevelType w:val="multilevel"/>
    <w:tmpl w:val="509AA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20F76"/>
    <w:multiLevelType w:val="multilevel"/>
    <w:tmpl w:val="C28E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81169D"/>
    <w:multiLevelType w:val="multilevel"/>
    <w:tmpl w:val="7186C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BC050F"/>
    <w:multiLevelType w:val="multilevel"/>
    <w:tmpl w:val="6E620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4575E0"/>
    <w:multiLevelType w:val="multilevel"/>
    <w:tmpl w:val="A59A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6C0C03"/>
    <w:multiLevelType w:val="multilevel"/>
    <w:tmpl w:val="1E728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3F5334"/>
    <w:multiLevelType w:val="multilevel"/>
    <w:tmpl w:val="6216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1A4BF2"/>
    <w:multiLevelType w:val="multilevel"/>
    <w:tmpl w:val="ACAE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6732165">
    <w:abstractNumId w:val="7"/>
  </w:num>
  <w:num w:numId="2" w16cid:durableId="456800065">
    <w:abstractNumId w:val="1"/>
  </w:num>
  <w:num w:numId="3" w16cid:durableId="1791782100">
    <w:abstractNumId w:val="0"/>
  </w:num>
  <w:num w:numId="4" w16cid:durableId="1777170339">
    <w:abstractNumId w:val="6"/>
  </w:num>
  <w:num w:numId="5" w16cid:durableId="1211258791">
    <w:abstractNumId w:val="2"/>
  </w:num>
  <w:num w:numId="6" w16cid:durableId="1168327918">
    <w:abstractNumId w:val="5"/>
  </w:num>
  <w:num w:numId="7" w16cid:durableId="1670012691">
    <w:abstractNumId w:val="8"/>
  </w:num>
  <w:num w:numId="8" w16cid:durableId="1727293426">
    <w:abstractNumId w:val="10"/>
  </w:num>
  <w:num w:numId="9" w16cid:durableId="851728802">
    <w:abstractNumId w:val="3"/>
  </w:num>
  <w:num w:numId="10" w16cid:durableId="608778024">
    <w:abstractNumId w:val="9"/>
  </w:num>
  <w:num w:numId="11" w16cid:durableId="20175322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80E"/>
    <w:rsid w:val="00040C23"/>
    <w:rsid w:val="000A380E"/>
    <w:rsid w:val="001410F2"/>
    <w:rsid w:val="001C5158"/>
    <w:rsid w:val="003229A4"/>
    <w:rsid w:val="00406980"/>
    <w:rsid w:val="005976A0"/>
    <w:rsid w:val="005E6E25"/>
    <w:rsid w:val="008E05D1"/>
    <w:rsid w:val="00A61C62"/>
    <w:rsid w:val="00BE4417"/>
    <w:rsid w:val="00CE780B"/>
    <w:rsid w:val="00D21E6C"/>
    <w:rsid w:val="00D93DA0"/>
    <w:rsid w:val="00DE3689"/>
    <w:rsid w:val="00E76C68"/>
    <w:rsid w:val="00F5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C8328"/>
  <w15:chartTrackingRefBased/>
  <w15:docId w15:val="{80CC1650-9E8F-9342-8011-FD295438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38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3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8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8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A38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A38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A38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8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8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8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8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8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8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8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8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8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8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80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A3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0A380E"/>
    <w:rPr>
      <w:i/>
      <w:iCs/>
    </w:rPr>
  </w:style>
  <w:style w:type="character" w:styleId="Strong">
    <w:name w:val="Strong"/>
    <w:basedOn w:val="DefaultParagraphFont"/>
    <w:uiPriority w:val="22"/>
    <w:qFormat/>
    <w:rsid w:val="000A38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Powers, Tamara M</dc:creator>
  <cp:keywords/>
  <dc:description/>
  <cp:lastModifiedBy>Powers, Tamara M</cp:lastModifiedBy>
  <cp:revision>5</cp:revision>
  <cp:lastPrinted>2025-09-18T18:05:00Z</cp:lastPrinted>
  <dcterms:created xsi:type="dcterms:W3CDTF">2025-09-16T16:50:00Z</dcterms:created>
  <dcterms:modified xsi:type="dcterms:W3CDTF">2025-09-18T18:06:00Z</dcterms:modified>
</cp:coreProperties>
</file>